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31"/>
        <w:tblW w:w="0" w:type="auto"/>
        <w:tblLook w:val="04A0" w:firstRow="1" w:lastRow="0" w:firstColumn="1" w:lastColumn="0" w:noHBand="0" w:noVBand="1"/>
      </w:tblPr>
      <w:tblGrid>
        <w:gridCol w:w="8784"/>
        <w:gridCol w:w="5164"/>
      </w:tblGrid>
      <w:tr w:rsidR="00D3483E" w:rsidRPr="00BA3FDE" w:rsidTr="000C069D">
        <w:tc>
          <w:tcPr>
            <w:tcW w:w="13948" w:type="dxa"/>
            <w:gridSpan w:val="2"/>
          </w:tcPr>
          <w:p w:rsidR="00D3483E" w:rsidRPr="00BA3FDE" w:rsidRDefault="00D3483E" w:rsidP="000C069D">
            <w:pPr>
              <w:pStyle w:val="Header"/>
              <w:spacing w:line="360" w:lineRule="auto"/>
              <w:jc w:val="center"/>
              <w:rPr>
                <w:b/>
              </w:rPr>
            </w:pPr>
            <w:r w:rsidRPr="00BA3FDE">
              <w:rPr>
                <w:b/>
              </w:rPr>
              <w:t>Year 4 Technologies and Library Collaborative Inquiry Learning Unit</w:t>
            </w:r>
          </w:p>
          <w:p w:rsidR="00D3483E" w:rsidRDefault="00D3483E" w:rsidP="000C069D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From Field</w:t>
            </w:r>
            <w:r w:rsidRPr="00BA3FDE">
              <w:rPr>
                <w:b/>
              </w:rPr>
              <w:t xml:space="preserve"> to Feast</w:t>
            </w:r>
            <w:r w:rsidRPr="00BA3FDE">
              <w:rPr>
                <w:b/>
              </w:rPr>
              <w:sym w:font="Symbol" w:char="F0BE"/>
            </w:r>
            <w:r w:rsidRPr="00BA3FDE">
              <w:rPr>
                <w:b/>
              </w:rPr>
              <w:t>Bread</w:t>
            </w:r>
          </w:p>
          <w:p w:rsidR="00D3483E" w:rsidRPr="00BA3FDE" w:rsidRDefault="00D3483E" w:rsidP="000C069D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By Marika Simon</w:t>
            </w:r>
            <w:bookmarkStart w:id="0" w:name="_GoBack"/>
            <w:bookmarkEnd w:id="0"/>
          </w:p>
        </w:tc>
      </w:tr>
      <w:tr w:rsidR="00D3483E" w:rsidRPr="00BA3FDE" w:rsidTr="000C069D">
        <w:tc>
          <w:tcPr>
            <w:tcW w:w="8784" w:type="dxa"/>
          </w:tcPr>
          <w:p w:rsidR="00D3483E" w:rsidRPr="00BA3FDE" w:rsidRDefault="00D3483E" w:rsidP="000C069D">
            <w:pPr>
              <w:spacing w:line="360" w:lineRule="auto"/>
              <w:rPr>
                <w:b/>
              </w:rPr>
            </w:pPr>
            <w:r>
              <w:rPr>
                <w:b/>
              </w:rPr>
              <w:t>Key Question</w:t>
            </w:r>
            <w:r w:rsidRPr="00BA3FDE">
              <w:rPr>
                <w:b/>
              </w:rPr>
              <w:t xml:space="preserve">: </w:t>
            </w:r>
          </w:p>
          <w:p w:rsidR="00D3483E" w:rsidRDefault="00D3483E" w:rsidP="000C069D">
            <w:pPr>
              <w:spacing w:line="360" w:lineRule="auto"/>
              <w:rPr>
                <w:b/>
              </w:rPr>
            </w:pPr>
            <w:r>
              <w:t>How do different technologies, occupations  and  processes contribute to the bread people eat?</w:t>
            </w:r>
          </w:p>
          <w:p w:rsidR="00D3483E" w:rsidRPr="00BA3FDE" w:rsidRDefault="00D3483E" w:rsidP="000C069D">
            <w:pPr>
              <w:spacing w:line="360" w:lineRule="auto"/>
              <w:rPr>
                <w:b/>
              </w:rPr>
            </w:pPr>
            <w:r w:rsidRPr="00BA3FDE">
              <w:rPr>
                <w:b/>
              </w:rPr>
              <w:t>Unit Focus</w:t>
            </w:r>
          </w:p>
          <w:p w:rsidR="00D3483E" w:rsidRPr="003E45D5" w:rsidRDefault="00D3483E" w:rsidP="000C069D">
            <w:pPr>
              <w:spacing w:line="360" w:lineRule="auto"/>
            </w:pPr>
            <w:r w:rsidRPr="00BA3FDE">
              <w:t xml:space="preserve">Students </w:t>
            </w:r>
            <w:r>
              <w:t>will use Kuhlthau et al. (2012</w:t>
            </w:r>
            <w:r w:rsidRPr="00BA3FDE">
              <w:t xml:space="preserve">)’s </w:t>
            </w:r>
            <w:r>
              <w:t xml:space="preserve">GID/ISP </w:t>
            </w:r>
            <w:r w:rsidRPr="00BA3FDE">
              <w:t>Information Literacy model to create and implement their own inquiries</w:t>
            </w:r>
            <w:r>
              <w:t xml:space="preserve"> into the production of bread</w:t>
            </w:r>
            <w:r w:rsidRPr="00BA3FDE">
              <w:t>. Through sharing results of individual research questions, the whole class will</w:t>
            </w:r>
            <w:r>
              <w:t xml:space="preserve"> aim to answer the Key Question</w:t>
            </w:r>
            <w:r w:rsidRPr="00BA3FDE">
              <w:t>.</w:t>
            </w:r>
          </w:p>
          <w:p w:rsidR="00D3483E" w:rsidRPr="00BA3FDE" w:rsidRDefault="00D3483E" w:rsidP="000C069D">
            <w:pPr>
              <w:spacing w:line="360" w:lineRule="auto"/>
            </w:pPr>
            <w:r w:rsidRPr="00BA3FDE">
              <w:rPr>
                <w:b/>
              </w:rPr>
              <w:t>Duration:</w:t>
            </w:r>
            <w:r w:rsidRPr="00BA3FDE">
              <w:t xml:space="preserve"> </w:t>
            </w:r>
          </w:p>
          <w:p w:rsidR="00D3483E" w:rsidRPr="00BA3FDE" w:rsidRDefault="00D3483E" w:rsidP="000C069D">
            <w:pPr>
              <w:spacing w:line="360" w:lineRule="auto"/>
            </w:pPr>
            <w:r w:rsidRPr="00BA3FDE">
              <w:t>One Term</w:t>
            </w:r>
            <w:r>
              <w:sym w:font="Symbol" w:char="F0BE"/>
            </w:r>
            <w:r w:rsidRPr="00BA3FDE">
              <w:t>10 weeks</w:t>
            </w:r>
          </w:p>
          <w:p w:rsidR="00D3483E" w:rsidRPr="00BA3FDE" w:rsidRDefault="00D3483E" w:rsidP="000C069D">
            <w:pPr>
              <w:spacing w:line="360" w:lineRule="auto"/>
            </w:pPr>
            <w:r>
              <w:t>10</w:t>
            </w:r>
            <w:r w:rsidRPr="00BA3FDE">
              <w:t xml:space="preserve"> x 30 minute library sessions (45 min – 15 for transitions and borrowing books)</w:t>
            </w:r>
          </w:p>
          <w:p w:rsidR="00D3483E" w:rsidRPr="005411F4" w:rsidRDefault="00D3483E" w:rsidP="000C069D">
            <w:pPr>
              <w:spacing w:line="360" w:lineRule="auto"/>
            </w:pPr>
            <w:r w:rsidRPr="00BA3FDE">
              <w:t>5 x fortnightly 50 minute RFF sessions (1 hour – transition time)</w:t>
            </w:r>
          </w:p>
        </w:tc>
        <w:tc>
          <w:tcPr>
            <w:tcW w:w="5164" w:type="dxa"/>
          </w:tcPr>
          <w:p w:rsidR="00D3483E" w:rsidRPr="00BA3FDE" w:rsidRDefault="00D3483E" w:rsidP="000C069D">
            <w:pPr>
              <w:shd w:val="clear" w:color="auto" w:fill="FFFFFF"/>
              <w:spacing w:line="360" w:lineRule="auto"/>
              <w:rPr>
                <w:b/>
                <w:kern w:val="36"/>
                <w:lang w:eastAsia="en-AU"/>
              </w:rPr>
            </w:pPr>
            <w:r w:rsidRPr="00BA3FDE">
              <w:rPr>
                <w:b/>
                <w:kern w:val="36"/>
                <w:lang w:eastAsia="en-AU"/>
              </w:rPr>
              <w:t>Assessment Overview:</w:t>
            </w:r>
          </w:p>
          <w:p w:rsidR="00D3483E" w:rsidRDefault="00D3483E" w:rsidP="000C069D">
            <w:pPr>
              <w:shd w:val="clear" w:color="auto" w:fill="FFFFFF"/>
              <w:spacing w:line="360" w:lineRule="auto"/>
              <w:rPr>
                <w:lang w:eastAsia="en-AU"/>
              </w:rPr>
            </w:pPr>
            <w:r w:rsidRPr="00BA3FDE">
              <w:rPr>
                <w:lang w:eastAsia="en-AU"/>
              </w:rPr>
              <w:t>The Teacher Librarian (TL) will assess information literacy according to Genera</w:t>
            </w:r>
            <w:r>
              <w:rPr>
                <w:lang w:eastAsia="en-AU"/>
              </w:rPr>
              <w:t>l Capabilities elements using student journals and bibliographies and SLIM Toolkit questionnaires.</w:t>
            </w:r>
          </w:p>
          <w:p w:rsidR="00D3483E" w:rsidRPr="00BA3FDE" w:rsidRDefault="00D3483E" w:rsidP="000C069D">
            <w:pPr>
              <w:shd w:val="clear" w:color="auto" w:fill="FFFFFF"/>
              <w:spacing w:line="360" w:lineRule="auto"/>
              <w:rPr>
                <w:lang w:eastAsia="en-AU"/>
              </w:rPr>
            </w:pPr>
          </w:p>
          <w:p w:rsidR="00D3483E" w:rsidRPr="00BA3FDE" w:rsidRDefault="00D3483E" w:rsidP="000C069D">
            <w:pPr>
              <w:shd w:val="clear" w:color="auto" w:fill="FFFFFF"/>
              <w:spacing w:line="360" w:lineRule="auto"/>
              <w:rPr>
                <w:lang w:eastAsia="en-AU"/>
              </w:rPr>
            </w:pPr>
            <w:r w:rsidRPr="00BA3FDE">
              <w:rPr>
                <w:lang w:eastAsia="en-AU"/>
              </w:rPr>
              <w:t xml:space="preserve">The Science and Technology Teacher (STT) will assess </w:t>
            </w:r>
            <w:r>
              <w:rPr>
                <w:lang w:eastAsia="en-AU"/>
              </w:rPr>
              <w:t>student creations and Key Question Assessments</w:t>
            </w:r>
            <w:r w:rsidRPr="00BA3FDE">
              <w:rPr>
                <w:lang w:eastAsia="en-AU"/>
              </w:rPr>
              <w:t xml:space="preserve"> according to the Technologies content descriptors</w:t>
            </w:r>
            <w:r>
              <w:rPr>
                <w:lang w:eastAsia="en-AU"/>
              </w:rPr>
              <w:t>.</w:t>
            </w:r>
          </w:p>
        </w:tc>
      </w:tr>
      <w:tr w:rsidR="00D3483E" w:rsidRPr="00BA3FDE" w:rsidTr="000C069D">
        <w:tc>
          <w:tcPr>
            <w:tcW w:w="13948" w:type="dxa"/>
            <w:gridSpan w:val="2"/>
          </w:tcPr>
          <w:p w:rsidR="00D3483E" w:rsidRDefault="00D3483E" w:rsidP="000C069D">
            <w:pPr>
              <w:spacing w:line="360" w:lineRule="auto"/>
              <w:rPr>
                <w:b/>
              </w:rPr>
            </w:pPr>
            <w:r>
              <w:rPr>
                <w:b/>
              </w:rPr>
              <w:t>Australian Curriculum Content Descriptors and General Capabilities (GC) Elements covered:</w:t>
            </w:r>
          </w:p>
          <w:p w:rsidR="00D3483E" w:rsidRDefault="00D3483E" w:rsidP="000C069D">
            <w:pPr>
              <w:spacing w:line="360" w:lineRule="auto"/>
            </w:pPr>
            <w:r w:rsidRPr="00CE6373">
              <w:t>(ACTDEK012</w:t>
            </w:r>
            <w:r>
              <w:t xml:space="preserve">) </w:t>
            </w:r>
            <w:r w:rsidRPr="00CE6373">
              <w:t>Investigate food and fibre production and food technologies used in m</w:t>
            </w:r>
            <w:r>
              <w:t>odern and traditional societies.</w:t>
            </w:r>
          </w:p>
          <w:p w:rsidR="00D3483E" w:rsidRDefault="00D3483E" w:rsidP="000C069D">
            <w:pPr>
              <w:spacing w:line="360" w:lineRule="auto"/>
            </w:pPr>
            <w:r w:rsidRPr="00CE6373">
              <w:t>(ACTDEK010</w:t>
            </w:r>
            <w:r>
              <w:t xml:space="preserve">) </w:t>
            </w:r>
            <w:r w:rsidRPr="00CE6373">
              <w:t>Recognise the role of people in design and technologies occupations and explore factors, including sustainability that impact on the design of products, services and envir</w:t>
            </w:r>
            <w:r>
              <w:t>onments to meet community needs.</w:t>
            </w:r>
          </w:p>
          <w:p w:rsidR="00D3483E" w:rsidRDefault="00D3483E" w:rsidP="000C069D">
            <w:pPr>
              <w:spacing w:line="360" w:lineRule="auto"/>
            </w:pPr>
            <w:r w:rsidRPr="00CE6373">
              <w:t>(ACTDIP009</w:t>
            </w:r>
            <w:r>
              <w:t xml:space="preserve">) </w:t>
            </w:r>
            <w:r w:rsidRPr="00CE6373">
              <w:t>Collect, access and present different types of data using simple software to create</w:t>
            </w:r>
            <w:r>
              <w:t xml:space="preserve"> information and solve problems.</w:t>
            </w:r>
          </w:p>
          <w:p w:rsidR="00D3483E" w:rsidRDefault="00D3483E" w:rsidP="000C069D">
            <w:pPr>
              <w:spacing w:line="360" w:lineRule="auto"/>
            </w:pPr>
            <w:r>
              <w:t>(ICT-1) Information and Communication Technologies (ICT) Capability: Investigating with ICT.</w:t>
            </w:r>
          </w:p>
          <w:p w:rsidR="00D3483E" w:rsidRDefault="00D3483E" w:rsidP="000C069D">
            <w:pPr>
              <w:spacing w:line="360" w:lineRule="auto"/>
            </w:pPr>
            <w:r>
              <w:t>(ICT-2) ICT Capability: Applying social and ethical protocols and practices when using ICT.</w:t>
            </w:r>
          </w:p>
          <w:p w:rsidR="00D3483E" w:rsidRPr="00CE6373" w:rsidRDefault="00D3483E" w:rsidP="000C069D">
            <w:pPr>
              <w:spacing w:line="360" w:lineRule="auto"/>
            </w:pPr>
            <w:r>
              <w:lastRenderedPageBreak/>
              <w:t>(CCT-1) Critical and Creative Thinking (CCT) Capability: Inquiring</w:t>
            </w:r>
            <w:r>
              <w:sym w:font="Symbol" w:char="F0BE"/>
            </w:r>
            <w:r>
              <w:t>identifying, exploring and organising information and ideas.</w:t>
            </w:r>
          </w:p>
        </w:tc>
      </w:tr>
    </w:tbl>
    <w:p w:rsidR="00D3483E" w:rsidRPr="00BA3FDE" w:rsidRDefault="00D3483E" w:rsidP="00D3483E"/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  <w:gridCol w:w="4395"/>
      </w:tblGrid>
      <w:tr w:rsidR="00D3483E" w:rsidRPr="00BA3FDE" w:rsidTr="000C069D">
        <w:tc>
          <w:tcPr>
            <w:tcW w:w="1985" w:type="dxa"/>
          </w:tcPr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  <w:r w:rsidRPr="00BA3FDE">
              <w:rPr>
                <w:b/>
              </w:rPr>
              <w:lastRenderedPageBreak/>
              <w:t>Lesson</w:t>
            </w:r>
            <w:r>
              <w:rPr>
                <w:b/>
              </w:rPr>
              <w:t xml:space="preserve">:  </w:t>
            </w:r>
            <w:r w:rsidRPr="00BA3FDE">
              <w:rPr>
                <w:b/>
              </w:rPr>
              <w:t>Inquiry Phase</w:t>
            </w:r>
          </w:p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Facilitator </w:t>
            </w:r>
          </w:p>
        </w:tc>
        <w:tc>
          <w:tcPr>
            <w:tcW w:w="7654" w:type="dxa"/>
          </w:tcPr>
          <w:p w:rsidR="00D3483E" w:rsidRPr="00BA3FD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  <w:r w:rsidRPr="00BA3FDE">
              <w:rPr>
                <w:b/>
              </w:rPr>
              <w:t>Teaching, learning and assessment overview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</w:p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</w:p>
          <w:p w:rsidR="00D3483E" w:rsidRPr="00BA3FDE" w:rsidRDefault="00D3483E" w:rsidP="000C06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1</w:t>
            </w:r>
            <w:r>
              <w:t xml:space="preserve">: </w:t>
            </w:r>
            <w:r w:rsidRPr="00BA3FDE">
              <w:t>Open</w:t>
            </w: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TL</w:t>
            </w:r>
            <w:r>
              <w:t xml:space="preserve">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Lunchbox guessing game (10 min)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IL Model explanation (20 min)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Word, phrase or picture reflection (2 min)</w:t>
            </w:r>
          </w:p>
        </w:tc>
        <w:tc>
          <w:tcPr>
            <w:tcW w:w="4395" w:type="dxa"/>
          </w:tcPr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See initial lesson plan for more detail.</w:t>
            </w: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2</w:t>
            </w:r>
            <w:r>
              <w:t>: Open/</w:t>
            </w:r>
            <w:r w:rsidRPr="00BA3FDE">
              <w:t>Immerse</w:t>
            </w: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TL</w:t>
            </w:r>
            <w:r>
              <w:t xml:space="preserve"> </w:t>
            </w:r>
          </w:p>
        </w:tc>
        <w:tc>
          <w:tcPr>
            <w:tcW w:w="7654" w:type="dxa"/>
          </w:tcPr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briefly r</w:t>
            </w:r>
            <w:r w:rsidRPr="00BA3FDE">
              <w:t xml:space="preserve">eview </w:t>
            </w:r>
            <w:r>
              <w:t>GID stages</w:t>
            </w:r>
            <w:r w:rsidRPr="00BA3FDE">
              <w:t xml:space="preserve">, </w:t>
            </w:r>
            <w:r>
              <w:t>introduce Nottingham’s (2018) Learning Pit (3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write “Think” statements for Think-Puzzle-Explore (5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 w:rsidRPr="00BA3FDE">
              <w:t>TL</w:t>
            </w:r>
            <w:r>
              <w:t>: read</w:t>
            </w:r>
            <w:r w:rsidRPr="00BA3FDE">
              <w:t xml:space="preserve"> </w:t>
            </w:r>
            <w:r w:rsidRPr="00BA3FDE">
              <w:rPr>
                <w:i/>
              </w:rPr>
              <w:t>Everybody Bakes Bread</w:t>
            </w:r>
            <w:r>
              <w:rPr>
                <w:i/>
              </w:rPr>
              <w:t xml:space="preserve"> </w:t>
            </w:r>
            <w:r>
              <w:t>(Dooley &amp; Thornton, 2010</w:t>
            </w:r>
            <w:r w:rsidRPr="00530C87">
              <w:t>)</w:t>
            </w:r>
            <w:r w:rsidRPr="00BA3FDE">
              <w:t xml:space="preserve"> </w:t>
            </w:r>
            <w:r>
              <w:t>(15 min).</w:t>
            </w:r>
          </w:p>
          <w:p w:rsidR="00D3483E" w:rsidRPr="009B6A42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 w:rsidRPr="00BA3FDE">
              <w:t>Students</w:t>
            </w:r>
            <w:r>
              <w:t xml:space="preserve">: think-pair-share and </w:t>
            </w:r>
            <w:r w:rsidRPr="00BA3FDE">
              <w:t>generate questions for “Puzzle” stage of Think-Pu</w:t>
            </w:r>
            <w:r>
              <w:t>zzle-Explore</w:t>
            </w:r>
            <w:r>
              <w:sym w:font="Symbol" w:char="F0BE"/>
            </w:r>
            <w:r w:rsidRPr="00BA3FDE">
              <w:t>ad</w:t>
            </w:r>
            <w:r>
              <w:t>d to poster. Send poster to STT (5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3</w:t>
            </w:r>
            <w:r>
              <w:t xml:space="preserve">: </w:t>
            </w:r>
            <w:r w:rsidRPr="00BA3FDE">
              <w:t>Immerse</w:t>
            </w: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STT</w:t>
            </w:r>
            <w:r>
              <w:t xml:space="preserve"> </w:t>
            </w:r>
          </w:p>
        </w:tc>
        <w:tc>
          <w:tcPr>
            <w:tcW w:w="7654" w:type="dxa"/>
          </w:tcPr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STT: read out “P</w:t>
            </w:r>
            <w:r w:rsidRPr="00BA3FDE">
              <w:t>uzzle” questions fr</w:t>
            </w:r>
            <w:r>
              <w:t>om the library session. Discuss (5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View: Aboriginal bread</w:t>
            </w:r>
            <w:r>
              <w:sym w:font="Symbol" w:char="F0BE"/>
            </w:r>
            <w:r>
              <w:t>audio file and photos (Brewin, 2013) (10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 w:rsidRPr="00BA3FDE">
              <w:t>Students</w:t>
            </w:r>
            <w:r>
              <w:t>:</w:t>
            </w:r>
            <w:r w:rsidRPr="00BA3FDE">
              <w:t xml:space="preserve"> </w:t>
            </w:r>
            <w:r>
              <w:t>think-pair-share,</w:t>
            </w:r>
            <w:r w:rsidRPr="00BA3FDE">
              <w:t xml:space="preserve"> create </w:t>
            </w:r>
            <w:r>
              <w:t>“Puzzle” questions (5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View: video on bread production (Morris, 2011, October 7) (8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 w:rsidRPr="00BA3FDE">
              <w:lastRenderedPageBreak/>
              <w:t>Students</w:t>
            </w:r>
            <w:r>
              <w:t>:</w:t>
            </w:r>
            <w:r w:rsidRPr="00BA3FDE">
              <w:t xml:space="preserve"> 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think-pair-share,</w:t>
            </w:r>
            <w:r w:rsidRPr="00BA3FDE">
              <w:t xml:space="preserve"> create </w:t>
            </w:r>
            <w:r>
              <w:t>“Puzzle” questions (5 min).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SLIM Toolkit initial questionnaire (15 min).</w:t>
            </w:r>
          </w:p>
        </w:tc>
        <w:tc>
          <w:tcPr>
            <w:tcW w:w="4395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hyperlink r:id="rId5" w:history="1">
              <w:r w:rsidRPr="00E8252E">
                <w:rPr>
                  <w:rStyle w:val="Hyperlink"/>
                </w:rPr>
                <w:t>http://www.abc.net.au/local/photos/2013/07/11/3801235.htm</w:t>
              </w:r>
            </w:hyperlink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hyperlink r:id="rId6" w:history="1">
              <w:r w:rsidRPr="00E8252E">
                <w:rPr>
                  <w:rStyle w:val="Hyperlink"/>
                </w:rPr>
                <w:t>https://www.youtube.com/watch?v=63YGhFPI6CE</w:t>
              </w:r>
            </w:hyperlink>
          </w:p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  <w:vMerge w:val="restart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4</w:t>
            </w:r>
            <w:r>
              <w:t xml:space="preserve"> - 5: </w:t>
            </w:r>
            <w:r w:rsidRPr="00BA3FDE">
              <w:t>Explore</w:t>
            </w:r>
          </w:p>
          <w:p w:rsidR="00D3483E" w:rsidRPr="00BA3FDE" w:rsidRDefault="00D3483E" w:rsidP="000C069D">
            <w:pPr>
              <w:spacing w:line="360" w:lineRule="auto"/>
              <w:jc w:val="center"/>
            </w:pPr>
            <w:r w:rsidRPr="00BA3FDE">
              <w:t>TL</w:t>
            </w:r>
            <w:r>
              <w:t xml:space="preserve"> </w:t>
            </w:r>
          </w:p>
          <w:p w:rsidR="00D3483E" w:rsidRDefault="00D3483E" w:rsidP="000C069D">
            <w:pPr>
              <w:spacing w:line="360" w:lineRule="auto"/>
            </w:pPr>
          </w:p>
          <w:p w:rsidR="00D3483E" w:rsidRPr="00BA3FDE" w:rsidRDefault="00D3483E" w:rsidP="000C069D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TL: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introduce Explore phase, review expectations for emotions using Learning Pit image (5 min).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introduce Inquiry Journals (IJs), Inquiry Logs (ILogs) (5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explore prepared resource stations, record sources on ILogs  (15 min).</w:t>
            </w:r>
          </w:p>
          <w:p w:rsidR="00D3483E" w:rsidRPr="0004312F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complete Head–Heart–Hands reflection in IJs (5 min).</w:t>
            </w:r>
          </w:p>
        </w:tc>
        <w:tc>
          <w:tcPr>
            <w:tcW w:w="4395" w:type="dxa"/>
            <w:vMerge w:val="restart"/>
          </w:tcPr>
          <w:p w:rsidR="00D3483E" w:rsidRDefault="00D3483E" w:rsidP="000C069D">
            <w:pPr>
              <w:pStyle w:val="ListParagraph"/>
              <w:spacing w:line="360" w:lineRule="auto"/>
            </w:pP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Resource stations: print and digital resources and pathfinders on key topics</w:t>
            </w:r>
          </w:p>
        </w:tc>
      </w:tr>
      <w:tr w:rsidR="00D3483E" w:rsidRPr="00BA3FDE" w:rsidTr="000C069D">
        <w:tc>
          <w:tcPr>
            <w:tcW w:w="1985" w:type="dxa"/>
            <w:vMerge/>
          </w:tcPr>
          <w:p w:rsidR="00D3483E" w:rsidRPr="00BA3FDE" w:rsidRDefault="00D3483E" w:rsidP="000C069D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assign students to initial Inquiry Circles (ICs) (5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Pr="00B7370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 w:rsidRPr="00B7370E">
              <w:t>explore using resource stati</w:t>
            </w:r>
            <w:r>
              <w:t>ons and other library resources</w:t>
            </w:r>
            <w:r w:rsidRPr="00B7370E">
              <w:t xml:space="preserve"> (20 minutes)</w:t>
            </w:r>
            <w:r>
              <w:t>.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share ILogs in ICs (5 min).</w:t>
            </w:r>
          </w:p>
        </w:tc>
        <w:tc>
          <w:tcPr>
            <w:tcW w:w="4395" w:type="dxa"/>
            <w:vMerge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6: Immerse/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lastRenderedPageBreak/>
              <w:t>Identify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STT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lastRenderedPageBreak/>
              <w:t>STT: remind students that the process can return to earlier stages</w:t>
            </w:r>
            <w:r>
              <w:sym w:font="Symbol" w:char="F0BE"/>
            </w:r>
            <w:r>
              <w:t>this week Immerse and Explore (2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lastRenderedPageBreak/>
              <w:t>Watch: video “Headlie’s Header” (Lee, 2014)</w:t>
            </w:r>
            <w:r>
              <w:sym w:font="Symbol" w:char="F0BE"/>
            </w:r>
            <w:r>
              <w:t>discuss connection to topic (wheat harvester</w:t>
            </w:r>
            <w:r>
              <w:sym w:font="Symbol" w:char="F0BE"/>
            </w:r>
            <w:r>
              <w:t>wheat is main grain used to make bread) (17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STT: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review Identify, discuss good inquiry questions qualities (6 min).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introduce Focus Questions, explain how students can reflect on information in ILogs and IJs to complete (2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work in ICs</w:t>
            </w:r>
            <w:r>
              <w:sym w:font="Symbol" w:char="F0BE"/>
            </w:r>
            <w:r>
              <w:t>complete Focus Questions in IJs (20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Discussion</w:t>
            </w:r>
            <w:r>
              <w:sym w:font="Symbol" w:char="F0BE"/>
            </w:r>
            <w:r>
              <w:t>reflect on progress</w:t>
            </w:r>
            <w:r>
              <w:sym w:font="Symbol" w:char="F0BE"/>
            </w:r>
            <w:r>
              <w:t>what was easy, difficult, complete, incomplete (3 min)?</w:t>
            </w:r>
          </w:p>
        </w:tc>
        <w:tc>
          <w:tcPr>
            <w:tcW w:w="4395" w:type="dxa"/>
          </w:tcPr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hyperlink r:id="rId7" w:history="1">
              <w:r w:rsidRPr="00E8252E">
                <w:rPr>
                  <w:rStyle w:val="Hyperlink"/>
                </w:rPr>
                <w:t>http://www.abc.net.au/tv/programs/landline/old-site/content/2013/s3945639.htm</w:t>
              </w:r>
            </w:hyperlink>
            <w:r>
              <w:t xml:space="preserve"> </w:t>
            </w: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7: Identify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TL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describe process of making Inquiry Charts (ICharts) (5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create ICharts (20 min).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write completed question on “Explore” chart when prepared.</w:t>
            </w:r>
          </w:p>
          <w:p w:rsidR="00D3483E" w:rsidRPr="00DB4A4A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debrief in ICs (5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8: Gather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TL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review Gather stage. Model internet search and note-taking strategies (5-10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gather information, using IJs (15 -20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create new ICs based on question similarity (5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9: Immerse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STT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lastRenderedPageBreak/>
              <w:t>Hands-on experience stations (45 min):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lastRenderedPageBreak/>
              <w:t>grinding grain to flour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proving yeast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combining and kneading dough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take notes in IJs, Head – Heart – Hands (5 – 10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debrief in ICs (5-10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10: Gather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TL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mini-lesson on Go Deep exercise (5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find source and Go Deep (15 min).</w:t>
            </w:r>
          </w:p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share results in ICs (10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11 - 13: Create </w:t>
            </w:r>
          </w:p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TL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present options for presentation products (digital/non-digital, text/visual/dramatic, all need bibliographies) (10 min).</w:t>
            </w:r>
          </w:p>
          <w:p w:rsidR="00D3483E" w:rsidRPr="00D90A32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TL: mini-lesson on bibliographies (10 min).</w:t>
            </w:r>
          </w:p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plan for create (10 min).</w:t>
            </w:r>
          </w:p>
          <w:p w:rsidR="00D3483E" w:rsidRPr="00D90A32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word, phrase or picture reflection in IJs (2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>STT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create (50 min).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Head-Heart-Hands in ICs (10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</w:pP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TL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finish creations (25 min).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debrief in ICs (5 min).</w:t>
            </w:r>
          </w:p>
        </w:tc>
        <w:tc>
          <w:tcPr>
            <w:tcW w:w="4395" w:type="dxa"/>
          </w:tcPr>
          <w:p w:rsidR="00D3483E" w:rsidRPr="0049468C" w:rsidRDefault="00D3483E" w:rsidP="000C069D">
            <w:pPr>
              <w:spacing w:line="360" w:lineRule="auto"/>
              <w:ind w:left="360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  <w:r>
              <w:lastRenderedPageBreak/>
              <w:t>14: Share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TL </w:t>
            </w:r>
          </w:p>
        </w:tc>
        <w:tc>
          <w:tcPr>
            <w:tcW w:w="7654" w:type="dxa"/>
          </w:tcPr>
          <w:p w:rsidR="00D3483E" w:rsidRPr="00BA3FD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>Students: share creations (30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985" w:type="dxa"/>
          </w:tcPr>
          <w:p w:rsidR="00D3483E" w:rsidRDefault="00D3483E" w:rsidP="000C069D">
            <w:pPr>
              <w:spacing w:line="360" w:lineRule="auto"/>
              <w:jc w:val="center"/>
            </w:pPr>
            <w:r>
              <w:t>15: Share / Evaluate</w:t>
            </w:r>
          </w:p>
          <w:p w:rsidR="00D3483E" w:rsidRDefault="00D3483E" w:rsidP="000C069D">
            <w:pPr>
              <w:spacing w:line="360" w:lineRule="auto"/>
              <w:jc w:val="center"/>
            </w:pPr>
            <w:r>
              <w:t xml:space="preserve">STT </w:t>
            </w:r>
          </w:p>
        </w:tc>
        <w:tc>
          <w:tcPr>
            <w:tcW w:w="7654" w:type="dxa"/>
          </w:tcPr>
          <w:p w:rsidR="00D3483E" w:rsidRDefault="00D3483E" w:rsidP="00D348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360" w:lineRule="auto"/>
            </w:pPr>
            <w:r>
              <w:t xml:space="preserve">Students: 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share creations (30 min).</w:t>
            </w:r>
          </w:p>
          <w:p w:rsidR="00D3483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assessment</w:t>
            </w:r>
            <w:r>
              <w:sym w:font="Symbol" w:char="F0BE"/>
            </w:r>
            <w:r>
              <w:t>answer Key Question (15 min).</w:t>
            </w:r>
          </w:p>
          <w:p w:rsidR="00D3483E" w:rsidRPr="00BA3FDE" w:rsidRDefault="00D3483E" w:rsidP="00D3483E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120" w:line="360" w:lineRule="auto"/>
            </w:pPr>
            <w:r>
              <w:t>SLIM toolkit final questionnaire (15 min).</w:t>
            </w:r>
          </w:p>
        </w:tc>
        <w:tc>
          <w:tcPr>
            <w:tcW w:w="4395" w:type="dxa"/>
          </w:tcPr>
          <w:p w:rsidR="00D3483E" w:rsidRPr="00BA3FDE" w:rsidRDefault="00D3483E" w:rsidP="000C069D">
            <w:pPr>
              <w:pStyle w:val="ListParagraph"/>
              <w:spacing w:line="360" w:lineRule="auto"/>
            </w:pPr>
          </w:p>
        </w:tc>
      </w:tr>
      <w:tr w:rsidR="00D3483E" w:rsidRPr="00BA3FDE" w:rsidTr="000C069D">
        <w:tc>
          <w:tcPr>
            <w:tcW w:w="14034" w:type="dxa"/>
            <w:gridSpan w:val="3"/>
          </w:tcPr>
          <w:p w:rsidR="00D3483E" w:rsidRDefault="00D3483E" w:rsidP="000C069D">
            <w:pPr>
              <w:spacing w:line="360" w:lineRule="auto"/>
              <w:jc w:val="center"/>
            </w:pPr>
            <w:r>
              <w:t>GC Assessment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Journals: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ICT-1/CCT-1: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 xml:space="preserve"> Gives (</w:t>
            </w:r>
            <w:r>
              <w:rPr>
                <w:b/>
              </w:rPr>
              <w:t>no, minimal, some, many, consistently thoughtful and thorough</w:t>
            </w:r>
            <w:r>
              <w:t>) explanations of how and why specific data was located and selected from digital sources for use in inquiry.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 xml:space="preserve">CCT-1: 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(</w:t>
            </w:r>
            <w:r>
              <w:rPr>
                <w:b/>
              </w:rPr>
              <w:t>Never,  Rarely, Sometimes, Mostly, Consistently and accurately</w:t>
            </w:r>
            <w:r>
              <w:t>) identifies the main idea of a source and takes (</w:t>
            </w:r>
            <w:r>
              <w:rPr>
                <w:b/>
              </w:rPr>
              <w:t>no, minimal, some, many, thorough and accurate</w:t>
            </w:r>
            <w:r>
              <w:t>) notes relevant to topic.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Is able to pose a rich inquiry question (</w:t>
            </w:r>
            <w:r>
              <w:rPr>
                <w:b/>
              </w:rPr>
              <w:t>not at all</w:t>
            </w:r>
            <w:r>
              <w:t xml:space="preserve">, </w:t>
            </w:r>
            <w:r>
              <w:rPr>
                <w:b/>
              </w:rPr>
              <w:t>with significant help</w:t>
            </w:r>
            <w:r>
              <w:t xml:space="preserve">, </w:t>
            </w:r>
            <w:r>
              <w:rPr>
                <w:b/>
              </w:rPr>
              <w:t>with some assistance, with minimal assistance, independently</w:t>
            </w:r>
            <w:r>
              <w:t>).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Bibliographies: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ICT-2: Demonstrates (</w:t>
            </w:r>
            <w:r>
              <w:rPr>
                <w:b/>
              </w:rPr>
              <w:t>no, emerging, developing, some, consistent</w:t>
            </w:r>
            <w:r>
              <w:t>)</w:t>
            </w:r>
            <w:r>
              <w:rPr>
                <w:b/>
              </w:rPr>
              <w:t xml:space="preserve"> </w:t>
            </w:r>
            <w:r>
              <w:t>recognition of intellectual property by:</w:t>
            </w:r>
          </w:p>
          <w:p w:rsidR="00D3483E" w:rsidRDefault="00D3483E" w:rsidP="000C069D">
            <w:pPr>
              <w:shd w:val="clear" w:color="auto" w:fill="FFFFFF"/>
              <w:spacing w:after="120" w:line="360" w:lineRule="auto"/>
            </w:pPr>
            <w:r>
              <w:t>(</w:t>
            </w:r>
            <w:r>
              <w:rPr>
                <w:b/>
              </w:rPr>
              <w:t>never, rarely, occasionally, usually, always</w:t>
            </w:r>
            <w:r>
              <w:t>) providing references for sources and images used in own work.</w:t>
            </w:r>
          </w:p>
          <w:p w:rsidR="00D3483E" w:rsidRPr="008D7B1D" w:rsidRDefault="00D3483E" w:rsidP="000C069D">
            <w:pPr>
              <w:shd w:val="clear" w:color="auto" w:fill="FFFFFF"/>
              <w:spacing w:after="120" w:line="360" w:lineRule="auto"/>
            </w:pPr>
            <w:r>
              <w:lastRenderedPageBreak/>
              <w:t>citing (</w:t>
            </w:r>
            <w:r>
              <w:rPr>
                <w:b/>
              </w:rPr>
              <w:t>no, one, two or three, four or five, more than five</w:t>
            </w:r>
            <w:r>
              <w:t>) sources using (</w:t>
            </w:r>
            <w:r>
              <w:rPr>
                <w:b/>
              </w:rPr>
              <w:t>no, minimal, some, complete, complete and accurately formatted</w:t>
            </w:r>
            <w:r>
              <w:t>) bibliographic information as demonstrated.</w:t>
            </w:r>
          </w:p>
        </w:tc>
      </w:tr>
    </w:tbl>
    <w:p w:rsidR="00D3483E" w:rsidRDefault="00D3483E" w:rsidP="00D3483E">
      <w:pPr>
        <w:spacing w:line="360" w:lineRule="auto"/>
        <w:sectPr w:rsidR="00D3483E" w:rsidSect="00D30B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11CD5" w:rsidRDefault="00511CD5"/>
    <w:sectPr w:rsidR="00511CD5" w:rsidSect="00D348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05C0"/>
    <w:multiLevelType w:val="hybridMultilevel"/>
    <w:tmpl w:val="26E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3E"/>
    <w:rsid w:val="00511CD5"/>
    <w:rsid w:val="00D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931BD-A81C-4488-B9D5-00CFCD0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483E"/>
    <w:rPr>
      <w:color w:val="53768C"/>
      <w:u w:val="single"/>
    </w:rPr>
  </w:style>
  <w:style w:type="paragraph" w:styleId="ListParagraph">
    <w:name w:val="List Paragraph"/>
    <w:basedOn w:val="Normal"/>
    <w:uiPriority w:val="34"/>
    <w:qFormat/>
    <w:rsid w:val="00D3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c.net.au/tv/programs/landline/old-site/content/2013/s394563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YGhFPI6CE" TargetMode="External"/><Relationship Id="rId5" Type="http://schemas.openxmlformats.org/officeDocument/2006/relationships/hyperlink" Target="http://www.abc.net.au/local/photos/2013/07/11/380123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Fitzgerald, Lee</cp:lastModifiedBy>
  <cp:revision>1</cp:revision>
  <dcterms:created xsi:type="dcterms:W3CDTF">2018-06-21T04:45:00Z</dcterms:created>
  <dcterms:modified xsi:type="dcterms:W3CDTF">2018-06-21T04:45:00Z</dcterms:modified>
</cp:coreProperties>
</file>